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0F4C4C"/>
          <w:sz w:val="32"/>
          <w:szCs w:val="32"/>
        </w:rPr>
        <w:t xml:space="preserve">Treinamento de Prevenção ao Assédio</w:t>
      </w:r>
    </w:p>
    <w:p>
      <w:pPr>
        <w:spacing w:after="240"/>
        <w:jc w:val="center"/>
      </w:pPr>
      <w:r>
        <w:rPr>
          <w:color w:val="667066"/>
          <w:sz w:val="20"/>
          <w:szCs w:val="20"/>
        </w:rPr>
        <w:t xml:space="preserve">Roteiro modelo · capacitação mínima a cada 12 meses (Lei 14.457/2022)</w:t>
      </w:r>
    </w:p>
    <w:p>
      <w:pPr>
        <w:spacing w:after="120"/>
      </w:pPr>
      <w:r>
        <w:rPr>
          <w:b/>
          <w:bCs/>
        </w:rPr>
        <w:t xml:space="preserve">Empresa: </w:t>
      </w:r>
      <w:r>
        <w:rPr>
          <w:color w:val="667066"/>
        </w:rPr>
        <w:t xml:space="preserve">[PREENCHER]</w:t>
      </w:r>
    </w:p>
    <w:p>
      <w:pPr>
        <w:spacing w:after="120"/>
      </w:pPr>
      <w:r>
        <w:rPr>
          <w:b/>
          <w:bCs/>
        </w:rPr>
        <w:t xml:space="preserve">Data: </w:t>
      </w:r>
      <w:r>
        <w:rPr>
          <w:color w:val="667066"/>
        </w:rPr>
        <w:t xml:space="preserve">[PREENCHER]</w:t>
      </w:r>
    </w:p>
    <w:p>
      <w:pPr>
        <w:spacing w:after="120"/>
      </w:pPr>
      <w:r>
        <w:rPr>
          <w:b/>
          <w:bCs/>
        </w:rPr>
        <w:t xml:space="preserve">Instrutor(a): </w:t>
      </w:r>
      <w:r>
        <w:rPr>
          <w:color w:val="667066"/>
        </w:rPr>
        <w:t xml:space="preserve">[PREENCHER]</w:t>
      </w:r>
    </w:p>
    <w:p>
      <w:pPr>
        <w:spacing w:after="120"/>
      </w:pPr>
      <w:r>
        <w:rPr>
          <w:b/>
          <w:bCs/>
        </w:rPr>
        <w:t xml:space="preserve">Carga horária: </w:t>
      </w:r>
      <w:r>
        <w:rPr>
          <w:color w:val="667066"/>
        </w:rPr>
        <w:t xml:space="preserve">[PREENCHER]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Público</w:t>
      </w:r>
    </w:p>
    <w:p>
      <w:pPr>
        <w:spacing w:after="120"/>
      </w:pPr>
      <w:r>
        <w:t xml:space="preserve">Todos os níveis hierárquicos: direção, lideranças e equipe operacional.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Objetivo</w:t>
      </w:r>
    </w:p>
    <w:p>
      <w:pPr>
        <w:spacing w:after="120"/>
      </w:pPr>
      <w:r>
        <w:t xml:space="preserve">Capacitar os participantes a reconhecer, prevenir e relatar situações de assédio e violência no trabalho, e apresentar o canal de denúncias da empresa.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Conteúdo programático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Conceito de assédio moral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Conceito de assédio sexual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Discriminação e outras formas de violência no trabalho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 que não caracteriza assédio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Regras de conduta da empresa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Canal de denúncias: meios de acesso e anonimato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Protocolo e acompanhamento do relato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Proteção contra retaliação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Papel da liderança na prevenção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Papel da CIPA na prevenção ao assédio</w:t>
      </w:r>
    </w:p>
    <w:p>
      <w:pPr>
        <w:pStyle w:val="Heading1"/>
        <w:spacing w:after="120" w:before="280"/>
      </w:pPr>
      <w:r>
        <w:rPr>
          <w:b/>
          <w:bCs/>
          <w:color w:val="0F4C4C"/>
        </w:rPr>
        <w:t xml:space="preserve">Registro</w:t>
      </w:r>
    </w:p>
    <w:p>
      <w:pPr>
        <w:spacing w:after="120"/>
      </w:pPr>
      <w:r>
        <w:t xml:space="preserve">Registrar a participação na lista de presença anexa (ou no registro digital do canal) e arquivar como evidência de cumprimento do art. 23, IV, da Lei 14.457/2022.</w:t>
      </w:r>
    </w:p>
    <w:p>
      <w:pPr>
        <w:pBdr>
          <w:top w:val="single" w:color="CCCCCC" w:sz="4"/>
        </w:pBdr>
        <w:spacing w:before="360"/>
      </w:pPr>
    </w:p>
    <w:p>
      <w:r>
        <w:rPr>
          <w:i/>
          <w:iCs/>
          <w:color w:val="667066"/>
          <w:sz w:val="16"/>
          <w:szCs w:val="16"/>
        </w:rPr>
        <w:t xml:space="preserve">Modelo aberto disponibilizado por SafeVoice (safevoice.com.br). Adapte à realidade da sua empresa; este modelo não substitui orientação jurídica para o caso concreto.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2026-09-06T12:03:59.400Z</dcterms:created>
  <dcterms:modified xsi:type="dcterms:W3CDTF">2026-09-06T12:03:59.400Z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